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1A2D6C" w:rsidTr="005D61D6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1A2D6C" w:rsidTr="005D61D6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D6C" w:rsidRDefault="001A2D6C" w:rsidP="005D61D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3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A2D6C" w:rsidRDefault="001A2D6C" w:rsidP="005D61D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1A2D6C" w:rsidRDefault="001A2D6C" w:rsidP="005D61D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1A2D6C" w:rsidRPr="00E81F34" w:rsidRDefault="001A2D6C" w:rsidP="005D61D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E81F3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1A2D6C" w:rsidRDefault="001A2D6C" w:rsidP="005D61D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1A2D6C" w:rsidRDefault="001A2D6C" w:rsidP="005D61D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1A2D6C" w:rsidRDefault="001A2D6C" w:rsidP="005D61D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775D2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27.10.2020</w:t>
                  </w:r>
                  <w:r w:rsidRPr="004110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01-13/2778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2D6C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2D6C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2D6C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1A2D6C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Заместителю главного инженера</w:t>
                  </w:r>
                </w:p>
                <w:p w:rsidR="001A2D6C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инжинирингу-начальник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управления инжиниринга обустройства месторождений</w:t>
                  </w:r>
                </w:p>
                <w:p w:rsidR="001A2D6C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Пантелееву</w:t>
                  </w:r>
                </w:p>
                <w:p w:rsidR="001A2D6C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2D6C" w:rsidRPr="00A02254" w:rsidRDefault="001A2D6C" w:rsidP="005D61D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A2D6C" w:rsidRDefault="001A2D6C" w:rsidP="005D61D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1A2D6C" w:rsidRDefault="001A2D6C" w:rsidP="005D61D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1A2D6C" w:rsidRDefault="001A2D6C" w:rsidP="005D61D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D6C" w:rsidRDefault="001A2D6C" w:rsidP="005D61D6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публичных слушаний от 14.10.2020 по рассмотрению 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территории для проектирования и строительства объекта</w:t>
            </w:r>
            <w:r w:rsidRPr="00DA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6066П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водовода высокого давления ВРП-2-ВРП-5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1A2D6C" w:rsidRPr="003A1E16" w:rsidRDefault="001A2D6C" w:rsidP="005D61D6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1A2D6C" w:rsidRDefault="001A2D6C" w:rsidP="005D61D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09.09.2020 № 1037-п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публичных слушаний по рассмотрению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для проектирования и 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6066П</w:t>
            </w:r>
            <w:proofErr w:type="gramStart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водовода высокого давления ВРП-2-ВРП-5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1A2D6C" w:rsidRPr="003A1E16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         2.Общие сведения о </w:t>
            </w:r>
            <w:proofErr w:type="gramStart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представленном на публичных слушаниях.</w:t>
            </w:r>
          </w:p>
          <w:p w:rsidR="001A2D6C" w:rsidRDefault="001A2D6C" w:rsidP="005D61D6">
            <w:pPr>
              <w:spacing w:after="0"/>
              <w:jc w:val="both"/>
              <w:rPr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публичных слушаний. Проект планировки территории совмещенного с проектом межевания территории для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6066П</w:t>
            </w:r>
            <w:proofErr w:type="gramStart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водовода высокого давления ВРП-2-ВРП-5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Переволоцкого района.</w:t>
            </w:r>
            <w:r>
              <w:rPr>
                <w:sz w:val="28"/>
                <w:szCs w:val="28"/>
              </w:rPr>
              <w:t xml:space="preserve"> </w:t>
            </w: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публичных слушаний.</w:t>
            </w: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5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1A2D6C" w:rsidRDefault="001A2D6C" w:rsidP="005D61D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1A2D6C" w:rsidRDefault="001A2D6C" w:rsidP="005D61D6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1A2D6C" w:rsidRDefault="001A2D6C" w:rsidP="005D61D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D6C" w:rsidRDefault="001A2D6C" w:rsidP="005D61D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2D6C" w:rsidRDefault="001A2D6C" w:rsidP="005D61D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A2D6C" w:rsidRDefault="001A2D6C" w:rsidP="005D61D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6C" w:rsidRDefault="001A2D6C" w:rsidP="005D61D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A2D6C" w:rsidRDefault="001A2D6C" w:rsidP="005D61D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A2D6C" w:rsidRDefault="001A2D6C" w:rsidP="005D61D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1A2D6C" w:rsidRDefault="001A2D6C" w:rsidP="001A2D6C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Оповещение жителей о проведении публичных слушаний осуществлялось путем опубликования в газете «Светлый путь» № 38 от 25  сентября 2020г., на официальных сайтах Переволоцкого района  </w:t>
      </w:r>
      <w:hyperlink r:id="rId6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perevolock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>-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обсуждения-2020», 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2D6C" w:rsidRDefault="001A2D6C" w:rsidP="001A2D6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4.Участниками публичных слушаний являются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правообладатели земельных участков и объектов капитального строительства на территории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1A2D6C" w:rsidRDefault="001A2D6C" w:rsidP="001A2D6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5.Сведения о проведении публичных слушаний.</w:t>
      </w:r>
    </w:p>
    <w:p w:rsidR="001A2D6C" w:rsidRDefault="001A2D6C" w:rsidP="001A2D6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администрацией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представителями администрации Переволоцкого района.</w:t>
      </w:r>
    </w:p>
    <w:p w:rsidR="001A2D6C" w:rsidRDefault="001A2D6C" w:rsidP="001A2D6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1A2D6C" w:rsidRDefault="001A2D6C" w:rsidP="001A2D6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-14 октября 2020г в 10.00 часов местного времени в здании сельского дома культуры по адресу: 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Ленинская,  21б;</w:t>
      </w:r>
    </w:p>
    <w:p w:rsidR="001A2D6C" w:rsidRDefault="001A2D6C" w:rsidP="001A2D6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</w:t>
      </w:r>
      <w:r w:rsidRPr="00D82A53">
        <w:rPr>
          <w:rFonts w:ascii="Times New Roman" w:hAnsi="Times New Roman" w:cs="Times New Roman"/>
          <w:sz w:val="28"/>
          <w:szCs w:val="28"/>
        </w:rPr>
        <w:t>представителя разработчик</w:t>
      </w:r>
      <w:proofErr w:type="gramStart"/>
      <w:r w:rsidRPr="00D82A5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6B7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теме публичных слушаний. Участникам публичных слушаний были даны разъяснения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до проведения и во время проведения публичных слушаний, предложений и замечаний  по проекту планировки территории совмещенного с проектом межевания территории не поступало. </w:t>
      </w:r>
    </w:p>
    <w:p w:rsidR="001A2D6C" w:rsidRDefault="001A2D6C" w:rsidP="001A2D6C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1A2D6C" w:rsidRDefault="001A2D6C" w:rsidP="001A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Рекомендовать к утверждению документацию по планировке территории  </w:t>
      </w:r>
      <w:r w:rsidRPr="00D03C90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для проектир</w:t>
      </w:r>
      <w:r>
        <w:rPr>
          <w:rFonts w:ascii="Times New Roman" w:hAnsi="Times New Roman" w:cs="Times New Roman"/>
          <w:sz w:val="28"/>
          <w:szCs w:val="28"/>
        </w:rPr>
        <w:t>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A4B82">
        <w:rPr>
          <w:rFonts w:ascii="Times New Roman" w:hAnsi="Times New Roman" w:cs="Times New Roman"/>
          <w:sz w:val="28"/>
          <w:szCs w:val="28"/>
        </w:rPr>
        <w:t xml:space="preserve">»:  </w:t>
      </w:r>
      <w:r>
        <w:rPr>
          <w:rFonts w:ascii="Times New Roman" w:hAnsi="Times New Roman" w:cs="Times New Roman"/>
          <w:sz w:val="28"/>
          <w:szCs w:val="28"/>
        </w:rPr>
        <w:t>6066П</w:t>
      </w:r>
      <w:proofErr w:type="gramStart"/>
      <w:r w:rsidRPr="00DA4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троительство водовода высокого давления ВРП-2-ВРП-5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Pr="00DA4B82">
        <w:rPr>
          <w:rFonts w:ascii="Times New Roman" w:hAnsi="Times New Roman" w:cs="Times New Roman"/>
          <w:sz w:val="28"/>
          <w:szCs w:val="28"/>
        </w:rPr>
        <w:t>, находящегося на территории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82">
        <w:rPr>
          <w:rFonts w:ascii="Times New Roman" w:hAnsi="Times New Roman" w:cs="Times New Roman"/>
          <w:sz w:val="28"/>
          <w:szCs w:val="28"/>
        </w:rPr>
        <w:t>сельсовет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D6C" w:rsidRPr="00BF512D" w:rsidRDefault="001A2D6C" w:rsidP="001A2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заключение о результатах публичных слушаний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</w:t>
      </w:r>
      <w:proofErr w:type="spellStart"/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слушания и общественные обсуждения-2020», и на сайте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Кичкасский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D6C" w:rsidRDefault="001A2D6C" w:rsidP="001A2D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1A2D6C" w:rsidRDefault="001A2D6C" w:rsidP="001A2D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архитектуре, </w:t>
      </w:r>
      <w:proofErr w:type="gramStart"/>
      <w:r>
        <w:rPr>
          <w:rFonts w:ascii="Times New Roman" w:hAnsi="Times New Roman"/>
          <w:sz w:val="28"/>
          <w:szCs w:val="28"/>
        </w:rPr>
        <w:t>капитальному</w:t>
      </w:r>
      <w:proofErr w:type="gramEnd"/>
    </w:p>
    <w:p w:rsidR="001A2D6C" w:rsidRDefault="001A2D6C" w:rsidP="001A2D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строительству и инвестициям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1A2D6C" w:rsidRDefault="001A2D6C" w:rsidP="001A2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BF512D">
        <w:rPr>
          <w:rFonts w:ascii="Times New Roman" w:hAnsi="Times New Roman" w:cs="Times New Roman"/>
          <w:sz w:val="24"/>
          <w:szCs w:val="24"/>
        </w:rPr>
        <w:t xml:space="preserve">сполнитель: А.Н. </w:t>
      </w:r>
      <w:proofErr w:type="spellStart"/>
      <w:r w:rsidRPr="00BF512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0E03B6" w:rsidRDefault="000E03B6"/>
    <w:sectPr w:rsidR="000E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D6C"/>
    <w:rsid w:val="000E03B6"/>
    <w:rsid w:val="001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1A2D6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A2D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2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" TargetMode="External"/><Relationship Id="rId5" Type="http://schemas.openxmlformats.org/officeDocument/2006/relationships/hyperlink" Target="http://www.perevolo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Company>Work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2020-11-02T11:32:00Z</dcterms:created>
  <dcterms:modified xsi:type="dcterms:W3CDTF">2020-11-02T11:32:00Z</dcterms:modified>
</cp:coreProperties>
</file>