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29"/>
      </w:tblGrid>
      <w:tr w:rsidR="00C330F2" w:rsidTr="00C330F2">
        <w:trPr>
          <w:trHeight w:val="3402"/>
        </w:trPr>
        <w:tc>
          <w:tcPr>
            <w:tcW w:w="3969" w:type="dxa"/>
          </w:tcPr>
          <w:p w:rsidR="00C330F2" w:rsidRDefault="00C330F2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C330F2" w:rsidRDefault="00C330F2">
            <w:pPr>
              <w:autoSpaceDE w:val="0"/>
              <w:autoSpaceDN w:val="0"/>
              <w:rPr>
                <w:b/>
                <w:bCs/>
              </w:rPr>
            </w:pPr>
            <w:r>
              <w:t xml:space="preserve">                                                                                                     </w:t>
            </w:r>
          </w:p>
          <w:p w:rsidR="00C330F2" w:rsidRDefault="00C330F2">
            <w:pPr>
              <w:autoSpaceDE w:val="0"/>
              <w:autoSpaceDN w:val="0"/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C330F2" w:rsidRDefault="00C330F2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330F2" w:rsidRDefault="00C330F2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КИЧКАССКИЙ СЕЛЬСОВЕТ</w:t>
            </w:r>
          </w:p>
          <w:p w:rsidR="00C330F2" w:rsidRDefault="00C330F2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C330F2" w:rsidRDefault="00C330F2">
            <w:pPr>
              <w:pStyle w:val="6"/>
              <w:spacing w:line="0" w:lineRule="atLeast"/>
              <w:rPr>
                <w:sz w:val="22"/>
                <w:lang w:val="ru-RU"/>
              </w:rPr>
            </w:pPr>
          </w:p>
          <w:p w:rsidR="00C330F2" w:rsidRDefault="00C330F2">
            <w:pPr>
              <w:pStyle w:val="6"/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C330F2" w:rsidRDefault="00C330F2"/>
          <w:p w:rsidR="00C330F2" w:rsidRDefault="00C330F2">
            <w:pPr>
              <w:pStyle w:val="6"/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 xml:space="preserve"> 29.12.2022 № 84-п</w:t>
            </w:r>
          </w:p>
          <w:p w:rsidR="00C330F2" w:rsidRDefault="00C330F2">
            <w:pPr>
              <w:ind w:left="142" w:hanging="142"/>
              <w:jc w:val="center"/>
              <w:rPr>
                <w:b/>
                <w:sz w:val="24"/>
              </w:rPr>
            </w:pPr>
          </w:p>
          <w:p w:rsidR="00C330F2" w:rsidRDefault="00C330F2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-1905</wp:posOffset>
                      </wp:positionV>
                      <wp:extent cx="2620645" cy="250190"/>
                      <wp:effectExtent l="13335" t="7620" r="13970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25019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7.2pt;margin-top:-.15pt;width:206.35pt;height:19.7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О мерах по обеспечению пожарной безопасности в период проведения новогодних и рождественских праздников 2022–2023 года </w:t>
            </w:r>
          </w:p>
          <w:p w:rsidR="00C330F2" w:rsidRDefault="00C330F2">
            <w:pPr>
              <w:jc w:val="both"/>
              <w:rPr>
                <w:szCs w:val="28"/>
              </w:rPr>
            </w:pPr>
          </w:p>
        </w:tc>
        <w:tc>
          <w:tcPr>
            <w:tcW w:w="5029" w:type="dxa"/>
          </w:tcPr>
          <w:p w:rsidR="00C330F2" w:rsidRDefault="00C330F2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C330F2" w:rsidRDefault="00C330F2" w:rsidP="00C330F2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</w:t>
      </w:r>
      <w:r>
        <w:rPr>
          <w:color w:val="000000"/>
          <w:sz w:val="28"/>
          <w:szCs w:val="24"/>
        </w:rPr>
        <w:t>со статьей 30 Федерального</w:t>
      </w:r>
      <w:r>
        <w:rPr>
          <w:sz w:val="28"/>
          <w:szCs w:val="24"/>
        </w:rPr>
        <w:t xml:space="preserve"> закона от 21.12.1994             № 69-ФЗ «О пожарной безопасности» и в целях обеспечения пожарной безопасности в период новогодних и рождественских праздников 2022–2023 года администрации </w:t>
      </w:r>
      <w:proofErr w:type="spellStart"/>
      <w:r>
        <w:rPr>
          <w:sz w:val="28"/>
          <w:szCs w:val="24"/>
        </w:rPr>
        <w:t>Кичкасского</w:t>
      </w:r>
      <w:proofErr w:type="spellEnd"/>
      <w:r>
        <w:rPr>
          <w:sz w:val="28"/>
          <w:szCs w:val="24"/>
        </w:rPr>
        <w:t xml:space="preserve"> сельсовета: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  <w:szCs w:val="24"/>
        </w:rPr>
      </w:pPr>
      <w:r>
        <w:rPr>
          <w:sz w:val="28"/>
        </w:rPr>
        <w:t xml:space="preserve">1. Установить с 30 декабря 2022 года по 9 января 2023 года особый противопожарный режим на территории </w:t>
      </w:r>
      <w:proofErr w:type="spellStart"/>
      <w:r>
        <w:rPr>
          <w:sz w:val="28"/>
        </w:rPr>
        <w:t>Кичкасского</w:t>
      </w:r>
      <w:proofErr w:type="spellEnd"/>
      <w:r>
        <w:rPr>
          <w:sz w:val="28"/>
        </w:rPr>
        <w:t xml:space="preserve"> сельсовета (далее – особый противопожарный режим).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 xml:space="preserve">2. В период действия особого противопожарного режима в населенных пунктах на территории </w:t>
      </w:r>
      <w:proofErr w:type="spellStart"/>
      <w:r>
        <w:rPr>
          <w:sz w:val="28"/>
        </w:rPr>
        <w:t>Кичкасского</w:t>
      </w:r>
      <w:proofErr w:type="spellEnd"/>
      <w:r>
        <w:rPr>
          <w:sz w:val="28"/>
        </w:rPr>
        <w:t xml:space="preserve"> сельсовета запретить: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использование пиротехнических изделий без подтверждения соответствия требованиям технического регламента Таможенного союза «О безопасности пиротехнических изделий»;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использование пиротехнической продукции на расстоянии ближе 50 метров от зданий, строений, мест массового скопления людей;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использование пиротехнических изделий при проведении мероприятий в закрытых помещениях;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  <w:szCs w:val="24"/>
        </w:rPr>
      </w:pPr>
      <w:r>
        <w:rPr>
          <w:sz w:val="28"/>
          <w:szCs w:val="24"/>
        </w:rPr>
        <w:t>запуск неуправляемых изделий из горючих материалов, принцип подъема которых на высоту, основан на нагревании воздуха внутри них при помощи открытого огня.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2. Взять на особый контроль проведение профилактической работы в отношении одиноко проживающих престарелых граждан, неблагополучных и (или) малообеспеченных семей, имеющих детей, в рамках межведомственной акции «Сохрани жизнь себе и своему ребенку»;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proofErr w:type="gramStart"/>
      <w:r>
        <w:rPr>
          <w:sz w:val="28"/>
        </w:rPr>
        <w:t xml:space="preserve">провести в рамках компетенции комплекс дополнительных мероприятий по пожарной безопасности на подведомственных территориях, в рамках которого совместно с представителями организаций, выполняющих работы по техническому обслуживанию и ремонту внутридомового или внутриквартирного газового оборудования, внутридомовых электрических </w:t>
      </w:r>
      <w:r>
        <w:rPr>
          <w:sz w:val="28"/>
        </w:rPr>
        <w:lastRenderedPageBreak/>
        <w:t>сетей, представляющих жилищно-коммунальные услуги, организовать мероприятия по выявлению нарушений эксплуатации газового оборудования, теплогенерирующих устройств, печей, вентиляции.</w:t>
      </w:r>
      <w:proofErr w:type="gramEnd"/>
      <w:r>
        <w:rPr>
          <w:sz w:val="28"/>
        </w:rPr>
        <w:t xml:space="preserve"> В случае выявления нарушений незамедлительно принять меры реагирования с целью сохранения жизни и здоровья граждан;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составить графики проведения праздничных мероприятий в организациях, осуществляющих образовательную деятельность и задействованных в проведении праздничных мероприятий, и направить их для информации в органы государственного пожарного надзора и органы внутренних дел, обеспечить усиление смен дежурного персонала на время проведения праздничных мероприятий;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организовать проведение инструктажей о мерах пожарной безопасности с руководителями и ответственными за пожарную безопасность должностными лицами организаций, принимающих участие в проведении праздничных мероприятий;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обеспечить выполнение требований Правил противопожарного режима при проведении на объектах, подведомственных органам местного самоуправления муниципальных образований Переволоцкого района праздничных мероприятий;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активизировать работу профилактических групп по информированию населения о мерах пожарной безопасности и правилах поведения при пожаре, в том числе о мерах безопасности при использовании отопительных печей, электрического и газового оборудования;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активизировать работу административной комиссии по привлечению виновных лиц к ответственности за нарушение дополнительных мер пожарной безопасности, установленных на период действия особого противопожарного режима;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обеспечить наружное освещение территории населенных пунктов в темное время суток в местах размещения пожарных гидрантов, наружных пожарных лестниц, пожарного инвентаря;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принять меры по размещению пожарной и приспособленной для тушения пожаров техники в отапливаемых помещениях, а также созданию резерва горюче-смазочных материалов, огнетушащих веществ, приспособленной для тушения пожаров техники;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задействовать громкоговорящие устройства в населенных пунктах, с целью проведения противопожарной агитации и пропаганды;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организовать информирование населения об оперативной обстановке с пожарами, о мерах пожарной безопасности при проведении праздничных мероприятий, использовании пиротехнических, электротехнических изделий и другой праздничной атрибутики;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t>обеспечить надлежащее состояние источников противопожарного водоснабжения, а также дорог, проездов и подъездов к зданиям, сооружениям и строениям на подведомственных территориях для беспрепятственного проезда техники аварийных служб;</w:t>
      </w:r>
    </w:p>
    <w:p w:rsidR="00C330F2" w:rsidRDefault="00C330F2" w:rsidP="00C330F2">
      <w:pPr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</w:rPr>
        <w:lastRenderedPageBreak/>
        <w:t>оказывать содействие в обеспечении готовности добровольных пожарных команд и дружин к реагированию на пожары.</w:t>
      </w:r>
    </w:p>
    <w:p w:rsidR="00C330F2" w:rsidRDefault="00C330F2" w:rsidP="00C330F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сельсовета </w:t>
      </w:r>
      <w:proofErr w:type="spellStart"/>
      <w:r>
        <w:rPr>
          <w:sz w:val="28"/>
          <w:szCs w:val="28"/>
        </w:rPr>
        <w:t>Кретинину</w:t>
      </w:r>
      <w:proofErr w:type="spellEnd"/>
      <w:r>
        <w:rPr>
          <w:sz w:val="28"/>
          <w:szCs w:val="28"/>
        </w:rPr>
        <w:t xml:space="preserve"> Л.А.</w:t>
      </w:r>
    </w:p>
    <w:p w:rsidR="00C330F2" w:rsidRDefault="00C330F2" w:rsidP="00C330F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  <w:szCs w:val="28"/>
        </w:rPr>
      </w:pPr>
    </w:p>
    <w:p w:rsidR="00C330F2" w:rsidRDefault="00C330F2" w:rsidP="00C330F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Разослано: 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 и  Переволоцкому районам, прокурору  , в дело                                                                            </w:t>
      </w:r>
    </w:p>
    <w:p w:rsidR="00C330F2" w:rsidRDefault="00C330F2" w:rsidP="00C330F2">
      <w:pPr>
        <w:pStyle w:val="a3"/>
        <w:jc w:val="both"/>
        <w:rPr>
          <w:sz w:val="28"/>
          <w:szCs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C330F2" w:rsidRDefault="00C330F2" w:rsidP="00C330F2">
      <w:pPr>
        <w:tabs>
          <w:tab w:val="left" w:pos="0"/>
        </w:tabs>
        <w:jc w:val="both"/>
        <w:rPr>
          <w:sz w:val="28"/>
        </w:rPr>
      </w:pPr>
    </w:p>
    <w:p w:rsidR="00011DE2" w:rsidRDefault="00011DE2">
      <w:bookmarkStart w:id="0" w:name="_GoBack"/>
      <w:bookmarkEnd w:id="0"/>
    </w:p>
    <w:sectPr w:rsidR="0001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14"/>
    <w:rsid w:val="00011DE2"/>
    <w:rsid w:val="00C330F2"/>
    <w:rsid w:val="00C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C330F2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C330F2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2022-12-29T05:01:00Z</dcterms:created>
  <dcterms:modified xsi:type="dcterms:W3CDTF">2022-12-29T05:01:00Z</dcterms:modified>
</cp:coreProperties>
</file>